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II/1 vom 30. Januar 2019</w:t>
      </w:r>
    </w:p>
    <w:p>
      <w:r>
        <w:t>Bundesverwaltungsgericht, 2019-01-30, FR</w:t>
      </w:r>
    </w:p>
    <w:p>
      <w:r>
        <w:rPr>
          <w:b/>
        </w:rPr>
        <w:t xml:space="preserve">Quelle: </w:t>
      </w:r>
      <w:r>
        <w:t>https://mcp.opencaselaw.ch/entscheid/bvger_BVGE 2019 II_1</w:t>
      </w:r>
    </w:p>
    <w:p>
      <w:r>
        <w:t>FR: TAF BVGE 2019 II/1 du 30 janvier 2019</w:t>
      </w:r>
    </w:p>
    <w:p>
      <w:r>
        <w:t>IT: TAF BVGE 2019 II/1 del 30 gennaio 2019</w:t>
      </w:r>
    </w:p>
    <w:p>
      <w:pPr>
        <w:pStyle w:val="Heading2"/>
      </w:pPr>
      <w:r>
        <w:t>Regeste</w:t>
      </w:r>
    </w:p>
    <w:p>
      <w:r>
        <w:t>Installations électriques (divers)</w:t>
      </w:r>
    </w:p>
    <w:p>
      <w:pPr>
        <w:pStyle w:val="Heading2"/>
      </w:pPr>
      <w:r>
        <w:t>Erwägungen</w:t>
      </w:r>
    </w:p>
    <w:p>
      <w:r>
        <w:rPr>
          <w:b/>
        </w:rPr>
        <w:t>E. 5</w:t>
      </w:r>
    </w:p>
    <w:p>
      <w:r>
        <w:t>Sur le vu de ce qui précède, il peut être retenu que, d'un point de vue formel, l'autorité inférieure n'a pas outrepassé sa compétence en tenant compte dans sa décision des conséquences qu'aurait l'approbation des installations litigieuses, sans toutefois statuer sur le raccordement à proprement parler des mayens et de l'étable sis aux mayens du Châble. D'un point de vue matériel, c'est à bon droit que l'autorité inférieure a rejeté les demandes d'approbation des plans du 16 avril 2014 pour la station transformatrice Bindzié et pour la modification des lignes attenantes Moay - Bindzié et La Crête - Bindzié. Partant, le recours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